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B2" w:rsidRDefault="00532701">
      <w:r>
        <w:t>Pytania do Pracy w grupach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 xml:space="preserve">Grupa 1.  Kto wypowiada te słowa? 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/Pan Jezus/.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 xml:space="preserve">Grupa 2. Do kogo je wypowiada? 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/do wszystkich ludzi, w tym do młodego Karola Wojtyły/.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 xml:space="preserve">Grupa 3.  Czy św. Jan Paweł II słuchał słów Pana Jezusa? 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/tak; nie; czasami; tylko wtedy, gdy był zdrowy; tylko wtedy, gdy miał na to ochotę.../;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 xml:space="preserve">Grupa 4. Czy św. Jan Paweł II kochał Pana Jezusa? 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/zawsze; tylko wtedy, gdy był szczęśliwy; tylko wtedy, gdy żyli Jego rodzice;  wtedy, gdy przybywał do Polski.../;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cs="Arial"/>
          <w:bCs/>
          <w:color w:val="000000"/>
          <w:sz w:val="26"/>
          <w:szCs w:val="26"/>
        </w:rPr>
        <w:t xml:space="preserve">Grupa 5. Jak „szedł za Jezusem” , naśladował Jezusa św. Jan Paweł II, gdy z powodu choroby nie mógł już chodzić? </w:t>
      </w:r>
    </w:p>
    <w:p w:rsidR="00532701" w:rsidRDefault="00532701" w:rsidP="00532701">
      <w:pPr>
        <w:spacing w:line="260" w:lineRule="auto"/>
        <w:jc w:val="both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>/modlił się; przytulał krzyż w czasie drogi krzyżowej kilka dni przed swoją śmiercią; błogosławił pielgrzymów na Placu Świętego Piotra.../.</w:t>
      </w:r>
    </w:p>
    <w:p w:rsidR="00532701" w:rsidRDefault="00532701"/>
    <w:sectPr w:rsidR="0053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1"/>
    <w:rsid w:val="00532701"/>
    <w:rsid w:val="006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DCFE-57B5-4819-9004-41CF2115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2020-02-28T12:09:00Z</dcterms:created>
  <dcterms:modified xsi:type="dcterms:W3CDTF">2020-02-28T12:11:00Z</dcterms:modified>
</cp:coreProperties>
</file>